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MINISTARSTVO ZNANOSTI, OBRAZOVANJA I SPORTA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 temelju članka 86. stavka 3. </w:t>
      </w:r>
      <w:hyperlink r:id="rId4" w:history="1">
        <w:r w:rsidRPr="008F6726">
          <w:rPr>
            <w:rFonts w:ascii="Arial" w:eastAsia="Times New Roman" w:hAnsi="Arial" w:cs="Arial"/>
            <w:b/>
            <w:bCs/>
            <w:color w:val="497FD7"/>
            <w:sz w:val="21"/>
            <w:szCs w:val="21"/>
            <w:lang w:eastAsia="hr-HR"/>
          </w:rPr>
          <w:t>Zakona o odgoju i obrazovanju u osnovnoj i srednjoj školi</w:t>
        </w:r>
      </w:hyperlink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(»Narodne novine«, broj 87/08., 86/09., 92/10., 105/10. – ispravak, 90/11., 16/12., 86/12., 94/13. i 152/14.), ministar znanosti, obrazovanja i sporta donosi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:rsidR="008F6726" w:rsidRPr="008F6726" w:rsidRDefault="008F6726" w:rsidP="008F6726">
      <w:pPr>
        <w:spacing w:before="240" w:after="240" w:line="336" w:lineRule="atLeast"/>
        <w:jc w:val="center"/>
        <w:outlineLvl w:val="0"/>
        <w:rPr>
          <w:rFonts w:ascii="Arial" w:eastAsia="Times New Roman" w:hAnsi="Arial" w:cs="Arial"/>
          <w:b/>
          <w:bCs/>
          <w:color w:val="414145"/>
          <w:kern w:val="36"/>
          <w:sz w:val="48"/>
          <w:szCs w:val="48"/>
          <w:lang w:eastAsia="hr-HR"/>
        </w:rPr>
      </w:pPr>
      <w:r w:rsidRPr="008F6726">
        <w:rPr>
          <w:rFonts w:ascii="Arial" w:eastAsia="Times New Roman" w:hAnsi="Arial" w:cs="Arial"/>
          <w:b/>
          <w:bCs/>
          <w:color w:val="414145"/>
          <w:kern w:val="36"/>
          <w:sz w:val="48"/>
          <w:szCs w:val="48"/>
          <w:lang w:eastAsia="hr-HR"/>
        </w:rPr>
        <w:t>PRAVILNIK O KRITERIJIMA ZA IZRICANJE PEDAGOŠKIH MJERA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Pročišćeni tekst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NN </w:t>
      </w:r>
      <w:hyperlink r:id="rId5" w:history="1">
        <w:r w:rsidRPr="008F6726">
          <w:rPr>
            <w:rFonts w:ascii="Arial" w:eastAsia="Times New Roman" w:hAnsi="Arial" w:cs="Arial"/>
            <w:b/>
            <w:bCs/>
            <w:color w:val="497FD7"/>
            <w:sz w:val="21"/>
            <w:szCs w:val="21"/>
            <w:lang w:eastAsia="hr-HR"/>
          </w:rPr>
          <w:t>94/15</w:t>
        </w:r>
      </w:hyperlink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, </w:t>
      </w:r>
      <w:hyperlink r:id="rId6" w:history="1">
        <w:r w:rsidRPr="008F6726">
          <w:rPr>
            <w:rFonts w:ascii="Arial" w:eastAsia="Times New Roman" w:hAnsi="Arial" w:cs="Arial"/>
            <w:b/>
            <w:bCs/>
            <w:color w:val="497FD7"/>
            <w:sz w:val="21"/>
            <w:szCs w:val="21"/>
            <w:lang w:eastAsia="hr-HR"/>
          </w:rPr>
          <w:t>03/17</w:t>
        </w:r>
      </w:hyperlink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1.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Ovim pravilnikom propisuju se kriteriji za izricanje pedagoških mjera učenicima osnovnih i srednjih škola.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Izricanje pedagoških mjera temelji se na principima postupnosti, proporcionalnosti, pravednosti i pravodobnosti.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(4) Pedagoške mjere izriču se zbog povrede dužnosti, neispunjavanja obveza, nasilničkog ponašanja i drugih neprimjerenih ponašanja (u daljnjem tekstu: neprihvatljiva ponašanja).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(5) Pedagoške mjere za koje se utvrđuju kriteriji u: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osnovnoj školi su: opomena, ukor, strogi ukor i preseljenje u drugu školu,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srednjoj školi su: opomena, ukor, opomena pred isključenje i isključenje iz srednje škole.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(6) Pedagoške mjere izriču se prema težini neprihvatljivog ponašanja.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(7) Izrazi koji se koriste u ovome pravilniku, a koji imaju rodno značenje, bez obzira na to jesu li korišteni u muškome ili ženskome rodu obuhvaćaju na jednak način i muški i ženski rod.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2.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3.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Neprihvatljiva ponašanja na temelju kojih se izriču pedagoške mjere iz članka 1. stavka 5. ovoga pravilnika podijeljena su ovisno o težini na: lakša, teža, teška i osobito teška.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Lakšim neprihvatljivim ponašanjima iz stavka 1. ovoga članka smatra se: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ometanje odgojno-obrazovnoga rada (npr. izazivanje nereda, stvaranje buke, pričanje nakon usmene opomene učitelja/nastavnika ili dovikivanje tijekom odgojno-obrazovnoga rada);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onečišćenje školskoga prostora i okoliša (npr. bacanje smeća izvan koševa za otpatke);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c) oštećivanje imovine u prostorima škole ili na drugome mjestu gdje se održava odgojno-obrazovni rad nanošenjem manje štete (npr. šaranje, urezivanje u namještaj);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d) nedopušteno korištenje informacijsko-komunikacijskih uređaja tijekom odgojno-obrazovnoga rada;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e) pomaganje ili poticanje ulaska neovlaštenih osoba u školski prostor;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f) poticanje drugih učenika na neprihvatljiva ponašanja;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g) uznemiravanje učenika ili radnika škole odnosno druge aktivnosti koje izazivaju nelagodu u drugih osoba, nakon što je učenik na to upozoren;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h) korištenje nedopuštenih izvora podataka u svrhu prepisivanja.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Težim neprihvatljivim ponašanjima iz stavka 1. ovoga članka smatra se: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ometanje odgojno-obrazovnoga rada na način da je onemogućeno njegovo daljnje izvođenje;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povreda dostojanstva druge osobe omalovažavanjem, vrijeđanjem ili širenjem neistina i glasina o drugome učeniku ili radniku škole;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 xml:space="preserve">c) unošenje ili konzumiranje </w:t>
      </w:r>
      <w:proofErr w:type="spellStart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psihoaktivnih</w:t>
      </w:r>
      <w:proofErr w:type="spellEnd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 xml:space="preserve"> sredstava u prostor škole ili na drugo mjesto gdje se održava odgojno-obrazovni rad;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d) dovođenje ili pomaganje prilikom dolaska neovlaštenim osobama koje su nanijele štetu osobama ili imovini u prostoru škole ili na drugome mjestu gdje se održava odgojno-obrazovni rad;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e) namjerno uništavanje imovine nanošenjem veće štete u prostoru škole ili na drugome mjestu gdje se održava odgojno-obrazovni rad;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f) prikrivanje nasilnih oblika ponašanja;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g) udaranje, sudjelovanje u tučnjavi i druga ponašanja koja mogu ugroziti sigurnost samog učenika ili druge osobe, ali bez težih posljedica;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h) korištenje ili zlouporaba podataka drugog učenika iz pedagoške dokumentacije;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i) klađenje ili kockanje u prostorima škole ili na drugome mjestu gdje se održava odgojno-obrazovni rad;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j) prisvajanje tuđe stvari.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(4) Teškim neprihvatljivim ponašanjima iz stavka 1. ovoga članka smatra se: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nasilno ponašanje koje nije rezultiralo težim posljedicama;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c) krivotvorenje ispričnica ili ispitnih materijala;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d) neovlašteno korištenje tuđih podataka za pristup elektroničkim bazama podataka škole bez njihove izmjene;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e) krađa tuđe stvari;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f) poticanje grupnoga govora mržnje;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g) uništavanje službene dokumentacije škole;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h) prisila drugog učenika na neprihvatljivo ponašanje ili iznuda drugog učenika (npr. iznuđivanje novca);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i) unošenje oružja i opasnih predmeta u prostor škole ili drugdje gdje se održava odgojno-obrazovni rad.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(5) Osobito teškim neprihvatljivim ponašanjima iz stavka 1. ovoga članka smatra se: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krivotvorenje pisane ili elektroničke službene dokumentacije škole;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objavljivanje materijala elektroničkim ili drugim putem, a koji za posljedicu imaju povredu ugleda, časti i dostojanstva druge osobe;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c) teška krađa odnosno krađa počinjena na opasan ili drzak način, obijanjem, provaljivanjem ili svladavanjem prepreka da se dođe do stvari;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d) ugrožavanje sigurnosti učenika ili radnika škole korištenjem oružja ili opasnih predmeta u prostoru škole ili na drugome mjestu gdje se održava odgojno-obrazovni rad;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e) nasilno ponašanje koje je rezultiralo teškim emocionalnim ili fizičkim posljedicama za drugu osobu.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4. (NN </w:t>
      </w:r>
      <w:hyperlink r:id="rId7" w:history="1">
        <w:r w:rsidRPr="008F6726">
          <w:rPr>
            <w:rFonts w:ascii="Arial" w:eastAsia="Times New Roman" w:hAnsi="Arial" w:cs="Arial"/>
            <w:b/>
            <w:bCs/>
            <w:color w:val="497FD7"/>
            <w:sz w:val="21"/>
            <w:szCs w:val="21"/>
            <w:lang w:eastAsia="hr-HR"/>
          </w:rPr>
          <w:t>03/17</w:t>
        </w:r>
      </w:hyperlink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)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Pedagoška mjera izriče se i zbog neopravdanih izostanaka s nastave.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Izostanak s nastave, u slučaju pravodobnog zahtjeva roditelja, može odobriti: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– učitelj/nastavnik za izostanak tijekom nastavnoga dana,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– razrednik za izostanak do tri (pojedinačna ili uzastopna) radna dana,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– ravnatelj za izostanak do sedam (uzastopnih) radnih dana,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– učiteljsko/nastavničko vijeće za izostanak do petnaest (uzastopnih) radnih dana.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(4) Opravdanost izostanka s nastave zbog zdravstvenih razloga u trajanju duljem od tri radna dana uzastopno dokazuje se liječničkom potvrdom.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(6) Neopravdanim izostankom smatra se izostanak koji nije odobren ili opravdan sukladno odredbama stavka 2., 3., 4. i 5. ovoga članka.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(7) Načini opravdavanja izostanaka učenika i primjereni rok javljanja o razlogu izostanka uređuju se statutom škole.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5.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Mjera se može izreći i bez izjašnjavanja učenika ako se učenik bez opravdanoga razloga ne odazove pozivu razrednika ili druge ovlaštene osobe.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(4) Mjera se može izreći i bez informiranja roditelja, što je propisano stavkom 2. ovoga članka, ako se roditelj ne odazove ni pisanom pozivu na razgovor.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(5) Pedagoška mjera opomene i ukora mora se izreći najkasnije u roku od 15 dana od dana saznanja za neprihvatljivo ponašanje učenika zbog kojeg se izriče.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6.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7.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8.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9.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Škole su dužne uskladiti odredbe statuta s odredbama ovoga pravilnika u roku od 60 dana od dana njegova stupanja na snagu.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10.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Ovaj pravilnik stupa na snagu osmoga dana od dana objave u »Narodnim novinama«.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Klasa: 602-02/15-06/00087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proofErr w:type="spellStart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Urbroj</w:t>
      </w:r>
      <w:proofErr w:type="spellEnd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: 533-25-15-0008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Zagreb, 31. kolovoza 2015.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Prijelazne i završne odredbe iz NN 03/17</w:t>
      </w:r>
    </w:p>
    <w:p w:rsidR="008F6726" w:rsidRPr="008F6726" w:rsidRDefault="008F6726" w:rsidP="008F6726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Članak 2.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Ovaj pravilnik stupa na snagu osmoga dana od dana objave u »Narodnim novinama«.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Klasa: 602-01/16-01/00635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proofErr w:type="spellStart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Urbroj</w:t>
      </w:r>
      <w:proofErr w:type="spellEnd"/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: 533-28-16-0001</w:t>
      </w:r>
    </w:p>
    <w:p w:rsidR="008F6726" w:rsidRPr="008F6726" w:rsidRDefault="008F6726" w:rsidP="008F6726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8F6726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Zagreb, 28. prosinca 2016.</w:t>
      </w:r>
    </w:p>
    <w:p w:rsidR="000A6DF9" w:rsidRDefault="000A6DF9">
      <w:bookmarkStart w:id="0" w:name="_GoBack"/>
      <w:bookmarkEnd w:id="0"/>
    </w:p>
    <w:sectPr w:rsidR="000A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26"/>
    <w:rsid w:val="000A6DF9"/>
    <w:rsid w:val="008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4AC2-5749-4CCC-B59E-497CC450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8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8179" TargetMode="External"/><Relationship Id="rId5" Type="http://schemas.openxmlformats.org/officeDocument/2006/relationships/hyperlink" Target="https://www.zakon.hr/cms.htm?id=13405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2025-11-20T09:01:00Z</dcterms:created>
  <dcterms:modified xsi:type="dcterms:W3CDTF">2025-11-20T09:01:00Z</dcterms:modified>
</cp:coreProperties>
</file>