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F0" w:rsidRDefault="00F45DF0" w:rsidP="00F45DF0">
      <w:pPr>
        <w:shd w:val="clear" w:color="auto" w:fill="FFFFFF"/>
        <w:spacing w:after="48" w:line="240" w:lineRule="auto"/>
        <w:textAlignment w:val="baseline"/>
        <w:rPr>
          <w:rFonts w:ascii="Times New Roman" w:eastAsia="Times New Roman" w:hAnsi="Times New Roman" w:cs="Times New Roman"/>
          <w:b/>
          <w:bCs/>
          <w:caps/>
          <w:color w:val="231F20"/>
          <w:sz w:val="24"/>
          <w:szCs w:val="24"/>
          <w:lang w:eastAsia="hr-HR"/>
        </w:rPr>
      </w:pPr>
      <w:r w:rsidRPr="00F45DF0">
        <w:rPr>
          <w:rFonts w:ascii="Times New Roman" w:eastAsia="Times New Roman" w:hAnsi="Times New Roman" w:cs="Times New Roman"/>
          <w:b/>
          <w:bCs/>
          <w:caps/>
          <w:color w:val="231F20"/>
          <w:sz w:val="24"/>
          <w:szCs w:val="24"/>
          <w:lang w:eastAsia="hr-HR"/>
        </w:rPr>
        <w:t>https://narodne-novine.nn.hr/clanci/sluzbeni/2025_09_122_1742.html</w:t>
      </w:r>
      <w:bookmarkStart w:id="0" w:name="_GoBack"/>
      <w:bookmarkEnd w:id="0"/>
    </w:p>
    <w:p w:rsidR="00F45DF0" w:rsidRPr="00F45DF0" w:rsidRDefault="00F45DF0" w:rsidP="00F45DF0">
      <w:pPr>
        <w:shd w:val="clear" w:color="auto" w:fill="FFFFFF"/>
        <w:spacing w:after="48" w:line="240" w:lineRule="auto"/>
        <w:jc w:val="center"/>
        <w:textAlignment w:val="baseline"/>
        <w:rPr>
          <w:rFonts w:ascii="Times New Roman" w:eastAsia="Times New Roman" w:hAnsi="Times New Roman" w:cs="Times New Roman"/>
          <w:b/>
          <w:bCs/>
          <w:caps/>
          <w:color w:val="231F20"/>
          <w:sz w:val="24"/>
          <w:szCs w:val="24"/>
          <w:lang w:eastAsia="hr-HR"/>
        </w:rPr>
      </w:pPr>
    </w:p>
    <w:p w:rsidR="00F45DF0" w:rsidRPr="00F45DF0" w:rsidRDefault="00F45DF0" w:rsidP="00F45DF0">
      <w:pPr>
        <w:shd w:val="clear" w:color="auto" w:fill="FFFFFF"/>
        <w:spacing w:after="48" w:line="240" w:lineRule="auto"/>
        <w:jc w:val="right"/>
        <w:textAlignment w:val="baseline"/>
        <w:rPr>
          <w:rFonts w:ascii="Times New Roman" w:eastAsia="Times New Roman" w:hAnsi="Times New Roman" w:cs="Times New Roman"/>
          <w:b/>
          <w:bCs/>
          <w:color w:val="231F20"/>
          <w:sz w:val="24"/>
          <w:szCs w:val="24"/>
          <w:lang w:eastAsia="hr-HR"/>
        </w:rPr>
      </w:pPr>
      <w:r w:rsidRPr="00F45DF0">
        <w:rPr>
          <w:rFonts w:ascii="Times New Roman" w:eastAsia="Times New Roman" w:hAnsi="Times New Roman" w:cs="Times New Roman"/>
          <w:b/>
          <w:bCs/>
          <w:color w:val="231F20"/>
          <w:sz w:val="24"/>
          <w:szCs w:val="24"/>
          <w:lang w:eastAsia="hr-HR"/>
        </w:rPr>
        <w:t>1742</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Na temelju članka 16. stavka 3. Zakona o proračunu (»Narodne novine«, broj 144/21), ministar financija donosi</w:t>
      </w:r>
    </w:p>
    <w:p w:rsidR="00F45DF0" w:rsidRPr="00F45DF0" w:rsidRDefault="00F45DF0" w:rsidP="00F45DF0">
      <w:pPr>
        <w:shd w:val="clear" w:color="auto" w:fill="FFFFFF"/>
        <w:spacing w:before="153" w:after="0" w:line="240" w:lineRule="auto"/>
        <w:jc w:val="center"/>
        <w:textAlignment w:val="baseline"/>
        <w:rPr>
          <w:rFonts w:ascii="Times New Roman" w:eastAsia="Times New Roman" w:hAnsi="Times New Roman" w:cs="Times New Roman"/>
          <w:b/>
          <w:bCs/>
          <w:color w:val="231F20"/>
          <w:sz w:val="32"/>
          <w:szCs w:val="32"/>
          <w:lang w:eastAsia="hr-HR"/>
        </w:rPr>
      </w:pPr>
      <w:r w:rsidRPr="00F45DF0">
        <w:rPr>
          <w:rFonts w:ascii="Times New Roman" w:eastAsia="Times New Roman" w:hAnsi="Times New Roman" w:cs="Times New Roman"/>
          <w:b/>
          <w:bCs/>
          <w:color w:val="231F20"/>
          <w:sz w:val="32"/>
          <w:szCs w:val="32"/>
          <w:lang w:eastAsia="hr-HR"/>
        </w:rPr>
        <w:t>PRAVILNIK</w:t>
      </w:r>
    </w:p>
    <w:p w:rsidR="00F45DF0" w:rsidRPr="00F45DF0" w:rsidRDefault="00F45DF0" w:rsidP="00F45DF0">
      <w:pPr>
        <w:shd w:val="clear" w:color="auto" w:fill="FFFFFF"/>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F45DF0">
        <w:rPr>
          <w:rFonts w:ascii="Times New Roman" w:eastAsia="Times New Roman" w:hAnsi="Times New Roman" w:cs="Times New Roman"/>
          <w:b/>
          <w:bCs/>
          <w:color w:val="231F20"/>
          <w:sz w:val="24"/>
          <w:szCs w:val="24"/>
          <w:lang w:eastAsia="hr-HR"/>
        </w:rPr>
        <w:t>O IZMJENAMA I DOPUNAMA PRAVILNIKA O PRORAČUNSKIM KLASIFIKACIJAMA</w:t>
      </w:r>
    </w:p>
    <w:p w:rsidR="00F45DF0" w:rsidRPr="00F45DF0" w:rsidRDefault="00F45DF0" w:rsidP="00F45DF0">
      <w:pPr>
        <w:shd w:val="clear" w:color="auto" w:fill="FFFFFF"/>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Članak 1.</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U Pravilniku o proračunskim klasifikacijama (»Narodne novine«, broj 4/24) članak 16. mijenja se i glasi: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 Izvori financiranja jesu: opći prihodi i primici, doprinosi, vlastiti prihodi, prihodi za posebne namjene, pomoći, donacije, prihodi od prodaje ili zamjene nefinancijske imovine i naknade s naslova osiguranja te namjenski primici.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(2) Brojčane oznake izvora financiranja razvrstane su u razrede, skupine, podskupine te dodatne analitičke oznake izvora financiranja.</w:t>
      </w:r>
    </w:p>
    <w:p w:rsidR="00F45DF0" w:rsidRPr="00F45DF0" w:rsidRDefault="00F45DF0" w:rsidP="00F45DF0">
      <w:pPr>
        <w:shd w:val="clear" w:color="auto" w:fill="FFFFFF"/>
        <w:spacing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(3) Razred u oznaci izvora financiranja sastoji se od jednoznamenkastog broja u rasponu od 1 do 8 kako slijedi:</w:t>
      </w:r>
    </w:p>
    <w:tbl>
      <w:tblPr>
        <w:tblW w:w="9908" w:type="dxa"/>
        <w:tblCellMar>
          <w:left w:w="0" w:type="dxa"/>
          <w:right w:w="0" w:type="dxa"/>
        </w:tblCellMar>
        <w:tblLook w:val="04A0" w:firstRow="1" w:lastRow="0" w:firstColumn="1" w:lastColumn="0" w:noHBand="0" w:noVBand="1"/>
      </w:tblPr>
      <w:tblGrid>
        <w:gridCol w:w="628"/>
        <w:gridCol w:w="9280"/>
      </w:tblGrid>
      <w:tr w:rsidR="00F45DF0" w:rsidRPr="00F45DF0" w:rsidTr="00F45DF0">
        <w:tc>
          <w:tcPr>
            <w:tcW w:w="61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1</w:t>
            </w:r>
          </w:p>
        </w:tc>
        <w:tc>
          <w:tcPr>
            <w:tcW w:w="9146"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Opći prihodi i primici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3</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Vlastiti prihodi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4</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za posebne namjene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6</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Donacije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7</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prodaje ili zamjene nefinancijske imovine i naknade s naslova osiguranja</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8</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Namjenski primici.</w:t>
            </w:r>
          </w:p>
        </w:tc>
      </w:tr>
    </w:tbl>
    <w:p w:rsidR="00F45DF0" w:rsidRPr="00F45DF0" w:rsidRDefault="00F45DF0" w:rsidP="00F45DF0">
      <w:pPr>
        <w:shd w:val="clear" w:color="auto" w:fill="FFFFFF"/>
        <w:spacing w:after="0" w:line="240" w:lineRule="auto"/>
        <w:textAlignment w:val="baseline"/>
        <w:rPr>
          <w:rFonts w:ascii="Minion Pro" w:eastAsia="Times New Roman" w:hAnsi="Minion Pro" w:cs="Times New Roman"/>
          <w:color w:val="000000"/>
          <w:sz w:val="20"/>
          <w:szCs w:val="20"/>
          <w:lang w:eastAsia="hr-HR"/>
        </w:rPr>
      </w:pPr>
      <w:r w:rsidRPr="00F45DF0">
        <w:rPr>
          <w:rFonts w:ascii="Minion Pro" w:eastAsia="Times New Roman" w:hAnsi="Minion Pro" w:cs="Times New Roman"/>
          <w:color w:val="000000"/>
          <w:sz w:val="20"/>
          <w:szCs w:val="20"/>
          <w:lang w:eastAsia="hr-HR"/>
        </w:rPr>
        <w:br/>
      </w:r>
    </w:p>
    <w:p w:rsidR="00F45DF0" w:rsidRPr="00F45DF0" w:rsidRDefault="00F45DF0" w:rsidP="00F45DF0">
      <w:pPr>
        <w:shd w:val="clear" w:color="auto" w:fill="FFFFFF"/>
        <w:spacing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(4) Skupina u oznaci izvora financiranja određuje se unutar razreda, a sastoji se od dvoznamenkastog broja od kojih prva znamenka označava pripadnost razredu, a druga znamenka se utvrđuje u rasponu od 0 do 9 kako slijedi:</w:t>
      </w:r>
    </w:p>
    <w:tbl>
      <w:tblPr>
        <w:tblW w:w="9908" w:type="dxa"/>
        <w:tblCellMar>
          <w:left w:w="0" w:type="dxa"/>
          <w:right w:w="0" w:type="dxa"/>
        </w:tblCellMar>
        <w:tblLook w:val="04A0" w:firstRow="1" w:lastRow="0" w:firstColumn="1" w:lastColumn="0" w:noHBand="0" w:noVBand="1"/>
      </w:tblPr>
      <w:tblGrid>
        <w:gridCol w:w="465"/>
        <w:gridCol w:w="556"/>
        <w:gridCol w:w="8887"/>
      </w:tblGrid>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1</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Opći prihodi i primici</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54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11</w:t>
            </w:r>
          </w:p>
        </w:tc>
        <w:tc>
          <w:tcPr>
            <w:tcW w:w="8687"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Opći prihodi i primici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12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Sredstva učešća za pomoći</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2</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21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 za mirovinsko osiguranje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22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 za zdravstveno osiguranje</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3</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Vlastiti prihodi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31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Vlastiti prihodi</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4</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za posebne namjene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40</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komunalne naknade i komunalnog doprinosa</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41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igara na sreću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42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spomeničke rente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43</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Ostali prihodi za posebne namjene</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Programi Unije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Ostale pomoći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53</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Darovnice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54</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poljoprivredni jamstveni fond (EAGF)</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Fondovi EU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Ostali programi EU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Instrumenti EU nove generacije</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6</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Donacije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61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Donacije</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7</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prodaje ili zamjene nefinancijske imovine i naknade s naslova osiguranja</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71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prodaje ili zamjene nefinancijske imovine i naknade s naslova osiguranja</w:t>
            </w:r>
          </w:p>
        </w:tc>
      </w:tr>
      <w:tr w:rsidR="00F45DF0" w:rsidRPr="00F45DF0" w:rsidTr="00F45DF0">
        <w:tc>
          <w:tcPr>
            <w:tcW w:w="458"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8</w:t>
            </w:r>
          </w:p>
        </w:tc>
        <w:tc>
          <w:tcPr>
            <w:tcW w:w="9307"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Namjenski primici</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81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Namjenski primici od zaduživanja</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84</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Namjenski primici od povrata danih zajmova.</w:t>
            </w:r>
          </w:p>
        </w:tc>
      </w:tr>
    </w:tbl>
    <w:p w:rsidR="00F45DF0" w:rsidRPr="00F45DF0" w:rsidRDefault="00F45DF0" w:rsidP="00F45DF0">
      <w:pPr>
        <w:shd w:val="clear" w:color="auto" w:fill="FFFFFF"/>
        <w:spacing w:after="0" w:line="240" w:lineRule="auto"/>
        <w:textAlignment w:val="baseline"/>
        <w:rPr>
          <w:rFonts w:ascii="Minion Pro" w:eastAsia="Times New Roman" w:hAnsi="Minion Pro" w:cs="Times New Roman"/>
          <w:color w:val="000000"/>
          <w:sz w:val="20"/>
          <w:szCs w:val="20"/>
          <w:lang w:eastAsia="hr-HR"/>
        </w:rPr>
      </w:pPr>
      <w:r w:rsidRPr="00F45DF0">
        <w:rPr>
          <w:rFonts w:ascii="Minion Pro" w:eastAsia="Times New Roman" w:hAnsi="Minion Pro" w:cs="Times New Roman"/>
          <w:color w:val="000000"/>
          <w:sz w:val="20"/>
          <w:szCs w:val="20"/>
          <w:lang w:eastAsia="hr-HR"/>
        </w:rPr>
        <w:br/>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(5) Ministarstvo financija odnosno upravno tijelo jedinice nadležno za financije može uz brojčane oznake skupina za razrede 1, 2, 3, 4, 6, 7 iz stavka 4. ovoga članka, dodijeliti podskupine odnosno analitičke oznake izvora financiranja.</w:t>
      </w:r>
    </w:p>
    <w:p w:rsidR="00F45DF0" w:rsidRPr="00F45DF0" w:rsidRDefault="00F45DF0" w:rsidP="00F45DF0">
      <w:pPr>
        <w:shd w:val="clear" w:color="auto" w:fill="FFFFFF"/>
        <w:spacing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(6) Unutar razreda 5 Pomoći, za praćenje EU sredstava po programima, odnosno fondovima i instrumentima, unutar skupina 51 Programi Unije, 56 Fondovi EU, 57 Ostali programi EU i 58 Instrumenti EU nove generacije, utvrđuju se podskupine oznaka izvora financiranja kako slijedi:</w:t>
      </w:r>
    </w:p>
    <w:tbl>
      <w:tblPr>
        <w:tblW w:w="9908" w:type="dxa"/>
        <w:tblCellMar>
          <w:left w:w="0" w:type="dxa"/>
          <w:right w:w="0" w:type="dxa"/>
        </w:tblCellMar>
        <w:tblLook w:val="04A0" w:firstRow="1" w:lastRow="0" w:firstColumn="1" w:lastColumn="0" w:noHBand="0" w:noVBand="1"/>
      </w:tblPr>
      <w:tblGrid>
        <w:gridCol w:w="466"/>
        <w:gridCol w:w="791"/>
        <w:gridCol w:w="8651"/>
      </w:tblGrid>
      <w:tr w:rsidR="00F45DF0" w:rsidRPr="00F45DF0" w:rsidTr="00F45DF0">
        <w:tc>
          <w:tcPr>
            <w:tcW w:w="45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w:t>
            </w:r>
          </w:p>
        </w:tc>
        <w:tc>
          <w:tcPr>
            <w:tcW w:w="9306"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Programi Unije</w:t>
            </w:r>
          </w:p>
        </w:tc>
      </w:tr>
      <w:tr w:rsidR="00F45DF0" w:rsidRPr="00F45DF0" w:rsidTr="00F45DF0">
        <w:tc>
          <w:tcPr>
            <w:tcW w:w="45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780"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w:t>
            </w:r>
          </w:p>
        </w:tc>
        <w:tc>
          <w:tcPr>
            <w:tcW w:w="8454"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Programi Unije</w:t>
            </w:r>
          </w:p>
        </w:tc>
      </w:tr>
      <w:tr w:rsidR="00F45DF0" w:rsidRPr="00F45DF0" w:rsidTr="00F45DF0">
        <w:tc>
          <w:tcPr>
            <w:tcW w:w="45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w:t>
            </w:r>
          </w:p>
        </w:tc>
        <w:tc>
          <w:tcPr>
            <w:tcW w:w="9306"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Fondovi EU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socijalni fond plus</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Kohezijski fond</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fond za regionalni razvoj</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pomorstvo, ribarstvo i akvakulturu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poljoprivredni fond za ruralni razvoj</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Modernizacijski fond</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Socijalni fond za klimatsku politiku</w:t>
            </w:r>
          </w:p>
        </w:tc>
      </w:tr>
      <w:tr w:rsidR="00F45DF0" w:rsidRPr="00F45DF0" w:rsidTr="00F45DF0">
        <w:tc>
          <w:tcPr>
            <w:tcW w:w="45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w:t>
            </w:r>
          </w:p>
        </w:tc>
        <w:tc>
          <w:tcPr>
            <w:tcW w:w="9306"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Ostali programi EU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azil, migracije i integraciju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pravednu tranziciju</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unutarnju sigurnost</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integrirano upravljanje granicama</w:t>
            </w:r>
          </w:p>
        </w:tc>
      </w:tr>
      <w:tr w:rsidR="00F45DF0" w:rsidRPr="00F45DF0" w:rsidTr="00F45DF0">
        <w:tc>
          <w:tcPr>
            <w:tcW w:w="459" w:type="dxa"/>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w:t>
            </w:r>
          </w:p>
        </w:tc>
        <w:tc>
          <w:tcPr>
            <w:tcW w:w="9306" w:type="dxa"/>
            <w:gridSpan w:val="2"/>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Instrumenti EU nove generacije</w:t>
            </w:r>
          </w:p>
        </w:tc>
      </w:tr>
      <w:tr w:rsidR="00F45DF0" w:rsidRPr="00F45DF0" w:rsidTr="00F45DF0">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w:t>
            </w:r>
          </w:p>
        </w:tc>
        <w:tc>
          <w:tcPr>
            <w:tcW w:w="0" w:type="auto"/>
            <w:tcBorders>
              <w:top w:val="nil"/>
              <w:left w:val="nil"/>
              <w:bottom w:val="nil"/>
              <w:right w:val="nil"/>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Mehanizam za oporavak i otpornost – bespovratna sredstva.</w:t>
            </w:r>
          </w:p>
        </w:tc>
      </w:tr>
    </w:tbl>
    <w:p w:rsidR="00F45DF0" w:rsidRPr="00F45DF0" w:rsidRDefault="00F45DF0" w:rsidP="00F45DF0">
      <w:pPr>
        <w:shd w:val="clear" w:color="auto" w:fill="FFFFFF"/>
        <w:spacing w:after="0" w:line="240" w:lineRule="auto"/>
        <w:textAlignment w:val="baseline"/>
        <w:rPr>
          <w:rFonts w:ascii="Minion Pro" w:eastAsia="Times New Roman" w:hAnsi="Minion Pro" w:cs="Times New Roman"/>
          <w:color w:val="000000"/>
          <w:sz w:val="20"/>
          <w:szCs w:val="20"/>
          <w:lang w:eastAsia="hr-HR"/>
        </w:rPr>
      </w:pPr>
      <w:r w:rsidRPr="00F45DF0">
        <w:rPr>
          <w:rFonts w:ascii="Minion Pro" w:eastAsia="Times New Roman" w:hAnsi="Minion Pro" w:cs="Times New Roman"/>
          <w:color w:val="000000"/>
          <w:sz w:val="20"/>
          <w:szCs w:val="20"/>
          <w:lang w:eastAsia="hr-HR"/>
        </w:rPr>
        <w:br/>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(7) Unutar podskupina utvrđenih stavkom 6. ovoga članka za označavanje raspoloživosti predujma ili unaprijed naplaćenog prihoda, odnosno korištenje ostalih izvora financiranja za </w:t>
      </w:r>
      <w:proofErr w:type="spellStart"/>
      <w:r w:rsidRPr="00F45DF0">
        <w:rPr>
          <w:rFonts w:ascii="Times New Roman" w:eastAsia="Times New Roman" w:hAnsi="Times New Roman" w:cs="Times New Roman"/>
          <w:color w:val="231F20"/>
          <w:sz w:val="20"/>
          <w:szCs w:val="20"/>
          <w:lang w:eastAsia="hr-HR"/>
        </w:rPr>
        <w:t>predfinanciranje</w:t>
      </w:r>
      <w:proofErr w:type="spellEnd"/>
      <w:r w:rsidRPr="00F45DF0">
        <w:rPr>
          <w:rFonts w:ascii="Times New Roman" w:eastAsia="Times New Roman" w:hAnsi="Times New Roman" w:cs="Times New Roman"/>
          <w:color w:val="231F20"/>
          <w:sz w:val="20"/>
          <w:szCs w:val="20"/>
          <w:lang w:eastAsia="hr-HR"/>
        </w:rPr>
        <w:t xml:space="preserve"> projektnih aktivnosti EU projekata, utvrđuju se dodatne analitičke oznake izvora financiranja kako slijedi: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− 00 raspoloživ predujam ili unaprijed naplaćen prihod</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− 11 </w:t>
      </w:r>
      <w:proofErr w:type="spellStart"/>
      <w:r w:rsidRPr="00F45DF0">
        <w:rPr>
          <w:rFonts w:ascii="Times New Roman" w:eastAsia="Times New Roman" w:hAnsi="Times New Roman" w:cs="Times New Roman"/>
          <w:color w:val="231F20"/>
          <w:sz w:val="20"/>
          <w:szCs w:val="20"/>
          <w:lang w:eastAsia="hr-HR"/>
        </w:rPr>
        <w:t>predfinanciranje</w:t>
      </w:r>
      <w:proofErr w:type="spellEnd"/>
      <w:r w:rsidRPr="00F45DF0">
        <w:rPr>
          <w:rFonts w:ascii="Times New Roman" w:eastAsia="Times New Roman" w:hAnsi="Times New Roman" w:cs="Times New Roman"/>
          <w:color w:val="231F20"/>
          <w:sz w:val="20"/>
          <w:szCs w:val="20"/>
          <w:lang w:eastAsia="hr-HR"/>
        </w:rPr>
        <w:t xml:space="preserve"> iz općih prihoda i primitaka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− 31 </w:t>
      </w:r>
      <w:proofErr w:type="spellStart"/>
      <w:r w:rsidRPr="00F45DF0">
        <w:rPr>
          <w:rFonts w:ascii="Times New Roman" w:eastAsia="Times New Roman" w:hAnsi="Times New Roman" w:cs="Times New Roman"/>
          <w:color w:val="231F20"/>
          <w:sz w:val="20"/>
          <w:szCs w:val="20"/>
          <w:lang w:eastAsia="hr-HR"/>
        </w:rPr>
        <w:t>predfinanciranje</w:t>
      </w:r>
      <w:proofErr w:type="spellEnd"/>
      <w:r w:rsidRPr="00F45DF0">
        <w:rPr>
          <w:rFonts w:ascii="Times New Roman" w:eastAsia="Times New Roman" w:hAnsi="Times New Roman" w:cs="Times New Roman"/>
          <w:color w:val="231F20"/>
          <w:sz w:val="20"/>
          <w:szCs w:val="20"/>
          <w:lang w:eastAsia="hr-HR"/>
        </w:rPr>
        <w:t xml:space="preserve"> iz vlastitih prihoda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− 43 </w:t>
      </w:r>
      <w:proofErr w:type="spellStart"/>
      <w:r w:rsidRPr="00F45DF0">
        <w:rPr>
          <w:rFonts w:ascii="Times New Roman" w:eastAsia="Times New Roman" w:hAnsi="Times New Roman" w:cs="Times New Roman"/>
          <w:color w:val="231F20"/>
          <w:sz w:val="20"/>
          <w:szCs w:val="20"/>
          <w:lang w:eastAsia="hr-HR"/>
        </w:rPr>
        <w:t>predfinanciranje</w:t>
      </w:r>
      <w:proofErr w:type="spellEnd"/>
      <w:r w:rsidRPr="00F45DF0">
        <w:rPr>
          <w:rFonts w:ascii="Times New Roman" w:eastAsia="Times New Roman" w:hAnsi="Times New Roman" w:cs="Times New Roman"/>
          <w:color w:val="231F20"/>
          <w:sz w:val="20"/>
          <w:szCs w:val="20"/>
          <w:lang w:eastAsia="hr-HR"/>
        </w:rPr>
        <w:t xml:space="preserve"> iz ostalih prihoda za posebne namjene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− 81 </w:t>
      </w:r>
      <w:proofErr w:type="spellStart"/>
      <w:r w:rsidRPr="00F45DF0">
        <w:rPr>
          <w:rFonts w:ascii="Times New Roman" w:eastAsia="Times New Roman" w:hAnsi="Times New Roman" w:cs="Times New Roman"/>
          <w:color w:val="231F20"/>
          <w:sz w:val="20"/>
          <w:szCs w:val="20"/>
          <w:lang w:eastAsia="hr-HR"/>
        </w:rPr>
        <w:t>predfinanciranje</w:t>
      </w:r>
      <w:proofErr w:type="spellEnd"/>
      <w:r w:rsidRPr="00F45DF0">
        <w:rPr>
          <w:rFonts w:ascii="Times New Roman" w:eastAsia="Times New Roman" w:hAnsi="Times New Roman" w:cs="Times New Roman"/>
          <w:color w:val="231F20"/>
          <w:sz w:val="20"/>
          <w:szCs w:val="20"/>
          <w:lang w:eastAsia="hr-HR"/>
        </w:rPr>
        <w:t xml:space="preserve"> iz namjenskih primitaka od zaduživanja.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(8) Unutar razreda 5 Pomoći za skupinu 50 Pomoći iz državnog proračuna utvrđuju se dodatne analitičke oznake izvora financiranja kako slijedi: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− 5011 Pomoći iz državnog proračuna kroz opće prihode i primitke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− 5012 Pomoći iz državnog proračuna kroz nacionalno sufinanciranje EU projekata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− 5041 Pomoći iz državnog proračuna kroz prihode od igara na sreću</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− 5042 Pomoći iz državnog proračuna kroz prihode od spomeničke rente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− 5043 Pomoći iz državnog proračuna kroz ostale prihode za posebne namjene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− 50810 Pomoći iz državnog proračuna kroz namjenske primitke od zaduživanja – ostali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− 50815 Pomoći kroz namjenske primitke od zaduživanja – NPOO.</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(9) Unutar razreda 8 Namjenski primici za skupinu 81 Namjenski primici od zaduživanja utvrđuju se podskupine oznaka izvora financiranja kako slijedi: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− 810 Namjenski primici od zaduživanja – ostali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− 815 Mehanizam za oporavak i otpornost (NPOO – zajam)</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− 816 Sigurnosna akcija za Europu (SAFE – zajam).</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(10) Ministarstvo financija odnosno upravno tijelo jedinice nadležno za financije može uz brojčanu oznaku podskupine 810 Namjenski primici od zaduživanja – ostali iz stavka 9. ovoga članka, dodijeliti dodatne analitičke oznake izvora financiranja.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(11) Brojčane oznake i nazivi izvora financiranja dani su u tabličnom prikazu u Prilogu 2 i sastavni su dio ovoga Pravilnika.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lastRenderedPageBreak/>
        <w:t>(12) U posebnom dijelu proračuna i financijskog plana najniža razina oznake izvora financiranja, u smislu pravilnika kojim je uređeno planiranje u sustavu proračuna, smatra se razina skupine odnosno podskupine u skladu s Prilogom 2 ovoga Pravilnika.«</w:t>
      </w:r>
    </w:p>
    <w:p w:rsidR="00F45DF0" w:rsidRPr="00F45DF0" w:rsidRDefault="00F45DF0" w:rsidP="00F45DF0">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Članak 2.</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Članak 17. mijenja se i glasi:</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 U izvor financiranja </w:t>
      </w:r>
      <w:r w:rsidRPr="00F45DF0">
        <w:rPr>
          <w:rFonts w:ascii="Minion Pro" w:eastAsia="Times New Roman" w:hAnsi="Minion Pro" w:cs="Times New Roman"/>
          <w:i/>
          <w:iCs/>
          <w:color w:val="231F20"/>
          <w:sz w:val="24"/>
          <w:szCs w:val="24"/>
          <w:bdr w:val="none" w:sz="0" w:space="0" w:color="auto" w:frame="1"/>
          <w:lang w:eastAsia="hr-HR"/>
        </w:rPr>
        <w:t>1 Opći prihodi i primici </w:t>
      </w:r>
      <w:r w:rsidRPr="00F45DF0">
        <w:rPr>
          <w:rFonts w:ascii="Times New Roman" w:eastAsia="Times New Roman" w:hAnsi="Times New Roman" w:cs="Times New Roman"/>
          <w:color w:val="231F20"/>
          <w:sz w:val="20"/>
          <w:szCs w:val="20"/>
          <w:lang w:eastAsia="hr-HR"/>
        </w:rPr>
        <w:t>uključuju se prihodi koji se ostvaruju temeljem posebnih propisa u kojima za prikupljene prihode nije definirana namjena korištenja, a uključuju prihode od poreza, prihode od financijske imovine, prihode od nefinancijske imovine, prihode od administrativnih (upravnih) pristojbi, prihode državne uprave, prihode od kazni, prihode od prodaje ili zamjene nefinancijske imovine u vlasništvu Republike Hrvatske stečene iz Općih prihoda i primitaka, naknade štete s naslova osiguranja ako je premija plaćena iz Općih prihoda i primitaka te primici od financijske imovine i zaduživanja za koje nije definirana namjena korištenja.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(2) Proračunski korisnici u izvor financiranja </w:t>
      </w:r>
      <w:r w:rsidRPr="00F45DF0">
        <w:rPr>
          <w:rFonts w:ascii="Minion Pro" w:eastAsia="Times New Roman" w:hAnsi="Minion Pro" w:cs="Times New Roman"/>
          <w:i/>
          <w:iCs/>
          <w:color w:val="231F20"/>
          <w:sz w:val="24"/>
          <w:szCs w:val="24"/>
          <w:bdr w:val="none" w:sz="0" w:space="0" w:color="auto" w:frame="1"/>
          <w:lang w:eastAsia="hr-HR"/>
        </w:rPr>
        <w:t>1 Opći prihodi i primici </w:t>
      </w:r>
      <w:r w:rsidRPr="00F45DF0">
        <w:rPr>
          <w:rFonts w:ascii="Times New Roman" w:eastAsia="Times New Roman" w:hAnsi="Times New Roman" w:cs="Times New Roman"/>
          <w:color w:val="231F20"/>
          <w:sz w:val="20"/>
          <w:szCs w:val="20"/>
          <w:lang w:eastAsia="hr-HR"/>
        </w:rPr>
        <w:t>uključuju prihode koje ostvare iz nadležnog proračuna.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(3) Iznimno od stavka 1. ovoga članka, prihodi državnog proračuna čija je namjena korištenja utvrđena, ali kod izrade državnog proračuna i financijskog plana nije poznata raspodjela iznosa niti provoditelji aktivnosti i projekata koji se financiraju iz namjenskih prihoda, planiraju se i izvršavaju kao izvor financiranja Opći prihodi i primici.</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(4) Iznimno od stavka 2. ovoga članka, prihode koje proračunski korisnici ostvare iz nadležnog proračuna, a koje je nadležni proračun uključio u izvor financiranja različit od izvora Opći prihodi i primici, proračunski korisnici uključuju u izvor financiranja u koji je uključen izvorni prihod nadležnog proračuna.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(5) U izvor financiranja </w:t>
      </w:r>
      <w:r w:rsidRPr="00F45DF0">
        <w:rPr>
          <w:rFonts w:ascii="Minion Pro" w:eastAsia="Times New Roman" w:hAnsi="Minion Pro" w:cs="Times New Roman"/>
          <w:i/>
          <w:iCs/>
          <w:color w:val="231F20"/>
          <w:sz w:val="24"/>
          <w:szCs w:val="24"/>
          <w:bdr w:val="none" w:sz="0" w:space="0" w:color="auto" w:frame="1"/>
          <w:lang w:eastAsia="hr-HR"/>
        </w:rPr>
        <w:t>2 Doprinosi </w:t>
      </w:r>
      <w:r w:rsidRPr="00F45DF0">
        <w:rPr>
          <w:rFonts w:ascii="Times New Roman" w:eastAsia="Times New Roman" w:hAnsi="Times New Roman" w:cs="Times New Roman"/>
          <w:color w:val="231F20"/>
          <w:sz w:val="20"/>
          <w:szCs w:val="20"/>
          <w:lang w:eastAsia="hr-HR"/>
        </w:rPr>
        <w:t>uključuju se prihodi od uplaćenih doprinosa za zdravstveno osiguranje i doprinosa za mirovinsko osiguranje.</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(6) U izvor financiranja </w:t>
      </w:r>
      <w:r w:rsidRPr="00F45DF0">
        <w:rPr>
          <w:rFonts w:ascii="Minion Pro" w:eastAsia="Times New Roman" w:hAnsi="Minion Pro" w:cs="Times New Roman"/>
          <w:i/>
          <w:iCs/>
          <w:color w:val="231F20"/>
          <w:sz w:val="24"/>
          <w:szCs w:val="24"/>
          <w:bdr w:val="none" w:sz="0" w:space="0" w:color="auto" w:frame="1"/>
          <w:lang w:eastAsia="hr-HR"/>
        </w:rPr>
        <w:t>3 Vlastiti prihodi </w:t>
      </w:r>
      <w:r w:rsidRPr="00F45DF0">
        <w:rPr>
          <w:rFonts w:ascii="Times New Roman" w:eastAsia="Times New Roman" w:hAnsi="Times New Roman" w:cs="Times New Roman"/>
          <w:color w:val="231F20"/>
          <w:sz w:val="20"/>
          <w:szCs w:val="20"/>
          <w:lang w:eastAsia="hr-HR"/>
        </w:rPr>
        <w:t>uključuju se prihodi koje jedinice te proračunski i izvanproračunski korisnici ostvare obavljanjem poslova na tržištu i u tržišnim uvjetima, a koje poslove mogu obavljati i drugi pravni subjekti izvan općeg proračuna.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(7) U izvor financiranja </w:t>
      </w:r>
      <w:r w:rsidRPr="00F45DF0">
        <w:rPr>
          <w:rFonts w:ascii="Minion Pro" w:eastAsia="Times New Roman" w:hAnsi="Minion Pro" w:cs="Times New Roman"/>
          <w:i/>
          <w:iCs/>
          <w:color w:val="231F20"/>
          <w:sz w:val="24"/>
          <w:szCs w:val="24"/>
          <w:bdr w:val="none" w:sz="0" w:space="0" w:color="auto" w:frame="1"/>
          <w:lang w:eastAsia="hr-HR"/>
        </w:rPr>
        <w:t>4 Prihodi za posebne namjene </w:t>
      </w:r>
      <w:r w:rsidRPr="00F45DF0">
        <w:rPr>
          <w:rFonts w:ascii="Times New Roman" w:eastAsia="Times New Roman" w:hAnsi="Times New Roman" w:cs="Times New Roman"/>
          <w:color w:val="231F20"/>
          <w:sz w:val="20"/>
          <w:szCs w:val="20"/>
          <w:lang w:eastAsia="hr-HR"/>
        </w:rPr>
        <w:t>uključuju se prihodi čije su korištenje i namjena utvrđeni posebnim zakonima.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(8) Iznimno od stavka 7. ovoga članka prihodi od trošarina namijenjeni za financiranje rashoda građenja i održavanja javnih cesta i željezničke infrastrukture čija je namjena utvrđena posebnim zakonima uključuju se u izvor financiranja 1 Opći prihodi i primici, a rashodi planirani u financijskom planu iz ovih prihoda podmiruju se do visine planiranih rashoda neovisno o naplaćenom prihodu.</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(9) U izvor financiranja </w:t>
      </w:r>
      <w:r w:rsidRPr="00F45DF0">
        <w:rPr>
          <w:rFonts w:ascii="Minion Pro" w:eastAsia="Times New Roman" w:hAnsi="Minion Pro" w:cs="Times New Roman"/>
          <w:i/>
          <w:iCs/>
          <w:color w:val="231F20"/>
          <w:sz w:val="24"/>
          <w:szCs w:val="24"/>
          <w:bdr w:val="none" w:sz="0" w:space="0" w:color="auto" w:frame="1"/>
          <w:lang w:eastAsia="hr-HR"/>
        </w:rPr>
        <w:t>5 Pomoći </w:t>
      </w:r>
      <w:r w:rsidRPr="00F45DF0">
        <w:rPr>
          <w:rFonts w:ascii="Times New Roman" w:eastAsia="Times New Roman" w:hAnsi="Times New Roman" w:cs="Times New Roman"/>
          <w:color w:val="231F20"/>
          <w:sz w:val="20"/>
          <w:szCs w:val="20"/>
          <w:lang w:eastAsia="hr-HR"/>
        </w:rPr>
        <w:t>uključuju se prihodi koji se ostvaruju od državnog proračuna, inozemnih vlada, međunarodnih organizacija, institucija i tijela EU, drugih proračuna i od ostalih subjekata unutar općeg proračuna, kao i prijenosi između proračunskih korisnika istog proračuna.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(10) Iznimno od stavka 9. ovoga članka u izvor financiranja </w:t>
      </w:r>
      <w:r w:rsidRPr="00F45DF0">
        <w:rPr>
          <w:rFonts w:ascii="Minion Pro" w:eastAsia="Times New Roman" w:hAnsi="Minion Pro" w:cs="Times New Roman"/>
          <w:i/>
          <w:iCs/>
          <w:color w:val="231F20"/>
          <w:sz w:val="24"/>
          <w:szCs w:val="24"/>
          <w:bdr w:val="none" w:sz="0" w:space="0" w:color="auto" w:frame="1"/>
          <w:lang w:eastAsia="hr-HR"/>
        </w:rPr>
        <w:t>5 Pomoći </w:t>
      </w:r>
      <w:r w:rsidRPr="00F45DF0">
        <w:rPr>
          <w:rFonts w:ascii="Times New Roman" w:eastAsia="Times New Roman" w:hAnsi="Times New Roman" w:cs="Times New Roman"/>
          <w:color w:val="231F20"/>
          <w:sz w:val="20"/>
          <w:szCs w:val="20"/>
          <w:lang w:eastAsia="hr-HR"/>
        </w:rPr>
        <w:t>uključuju se i primici od financijskih instrumenata.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(11) U izvor financiranja </w:t>
      </w:r>
      <w:r w:rsidRPr="00F45DF0">
        <w:rPr>
          <w:rFonts w:ascii="Minion Pro" w:eastAsia="Times New Roman" w:hAnsi="Minion Pro" w:cs="Times New Roman"/>
          <w:i/>
          <w:iCs/>
          <w:color w:val="231F20"/>
          <w:sz w:val="24"/>
          <w:szCs w:val="24"/>
          <w:bdr w:val="none" w:sz="0" w:space="0" w:color="auto" w:frame="1"/>
          <w:lang w:eastAsia="hr-HR"/>
        </w:rPr>
        <w:t>6 Donacije </w:t>
      </w:r>
      <w:r w:rsidRPr="00F45DF0">
        <w:rPr>
          <w:rFonts w:ascii="Times New Roman" w:eastAsia="Times New Roman" w:hAnsi="Times New Roman" w:cs="Times New Roman"/>
          <w:color w:val="231F20"/>
          <w:sz w:val="20"/>
          <w:szCs w:val="20"/>
          <w:lang w:eastAsia="hr-HR"/>
        </w:rPr>
        <w:t>uključuju se prihodi ostvareni od fizičkih osoba, neprofitnih organizacija, trgovačkih društava i ostalih subjekata izvan općeg proračuna.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(12) U izvor financiranja </w:t>
      </w:r>
      <w:r w:rsidRPr="00F45DF0">
        <w:rPr>
          <w:rFonts w:ascii="Minion Pro" w:eastAsia="Times New Roman" w:hAnsi="Minion Pro" w:cs="Times New Roman"/>
          <w:i/>
          <w:iCs/>
          <w:color w:val="231F20"/>
          <w:sz w:val="24"/>
          <w:szCs w:val="24"/>
          <w:bdr w:val="none" w:sz="0" w:space="0" w:color="auto" w:frame="1"/>
          <w:lang w:eastAsia="hr-HR"/>
        </w:rPr>
        <w:t>7 Prihodi od prodaje ili zamjene nefinancijske imovine i naknade s naslova osiguranja </w:t>
      </w:r>
      <w:r w:rsidRPr="00F45DF0">
        <w:rPr>
          <w:rFonts w:ascii="Times New Roman" w:eastAsia="Times New Roman" w:hAnsi="Times New Roman" w:cs="Times New Roman"/>
          <w:color w:val="231F20"/>
          <w:sz w:val="20"/>
          <w:szCs w:val="20"/>
          <w:lang w:eastAsia="hr-HR"/>
        </w:rPr>
        <w:t>uključuju se prihodi koji se ostvaruju prodajom ili zamjenom nefinancijske imovine u vlasništvu proračunskog korisnika, a koja nije stečena iz Općih prihoda i primitaka te od naknade štete s naslova osiguranja ako premija nije plaćena iz Općih prihoda i primitaka.</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(13) U izvor financiranja </w:t>
      </w:r>
      <w:r w:rsidRPr="00F45DF0">
        <w:rPr>
          <w:rFonts w:ascii="Minion Pro" w:eastAsia="Times New Roman" w:hAnsi="Minion Pro" w:cs="Times New Roman"/>
          <w:i/>
          <w:iCs/>
          <w:color w:val="231F20"/>
          <w:sz w:val="24"/>
          <w:szCs w:val="24"/>
          <w:bdr w:val="none" w:sz="0" w:space="0" w:color="auto" w:frame="1"/>
          <w:lang w:eastAsia="hr-HR"/>
        </w:rPr>
        <w:t>8 Namjenski primici </w:t>
      </w:r>
      <w:r w:rsidRPr="00F45DF0">
        <w:rPr>
          <w:rFonts w:ascii="Times New Roman" w:eastAsia="Times New Roman" w:hAnsi="Times New Roman" w:cs="Times New Roman"/>
          <w:color w:val="231F20"/>
          <w:sz w:val="20"/>
          <w:szCs w:val="20"/>
          <w:lang w:eastAsia="hr-HR"/>
        </w:rPr>
        <w:t>uključuju se primici od financijske imovine i zaduživanja od kreditnih institucija, međunarodnih organizacija i institucija te institucija i tijela EU čija je namjena utvrđena posebnim ugovorima i/ili propisima. U okviru ovoga izvora korisnici državnog proračuna klasificiraju povrate zajmova koje daju temeljem posebnih zakona, a koji se koriste za davanje novih zajmova i primitke od povrata zajmova s osnove danih zajmova iz financijskih instrumenata, a koji se koriste za davanje novih zajmova.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(14) Iznimno od stavka 13. ovoga članka, primici državnog proračuna čija je namjena korištenja utvrđena, ali kod izrade državnog proračuna i financijskog plana nije poznata raspodjela iznosa niti provoditelji aktivnosti i projekata koji se financiraju iz namjenskih primitaka ili je pravo na ostvarenje tih namjenskih primitaka ostvareno temeljem izvršenih rashoda plaćenih iz izvora Opći prihodi i primici, planiraju se i izvršavaju kao izvor financiranja Opći prihodi i primici.</w:t>
      </w:r>
    </w:p>
    <w:p w:rsidR="00F45DF0" w:rsidRPr="00F45DF0" w:rsidRDefault="00F45DF0" w:rsidP="00F45DF0">
      <w:pPr>
        <w:shd w:val="clear" w:color="auto" w:fill="FFFFFF"/>
        <w:spacing w:after="0"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(15) Iznimno od stavka 13. ovoga članka u izvor financiranja </w:t>
      </w:r>
      <w:r w:rsidRPr="00F45DF0">
        <w:rPr>
          <w:rFonts w:ascii="Minion Pro" w:eastAsia="Times New Roman" w:hAnsi="Minion Pro" w:cs="Times New Roman"/>
          <w:i/>
          <w:iCs/>
          <w:color w:val="231F20"/>
          <w:sz w:val="24"/>
          <w:szCs w:val="24"/>
          <w:bdr w:val="none" w:sz="0" w:space="0" w:color="auto" w:frame="1"/>
          <w:lang w:eastAsia="hr-HR"/>
        </w:rPr>
        <w:t>8 Namjenski primici </w:t>
      </w:r>
      <w:r w:rsidRPr="00F45DF0">
        <w:rPr>
          <w:rFonts w:ascii="Times New Roman" w:eastAsia="Times New Roman" w:hAnsi="Times New Roman" w:cs="Times New Roman"/>
          <w:color w:val="231F20"/>
          <w:sz w:val="20"/>
          <w:szCs w:val="20"/>
          <w:lang w:eastAsia="hr-HR"/>
        </w:rPr>
        <w:t>uključuju se i prihodi koje proračunski korisnici državnog proračuna ostvare s osnove povrata danih zajmova iz financijskih instrumenata.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lastRenderedPageBreak/>
        <w:t>(16) Financijski instrumenti u smislu stavaka 10., 13. i 15. ovoga članka, predstavljaju EU sredstva po programima, odnosno fondovima i instrumentima u obliku zajmova, jamstava i ulaganja u kapital.«</w:t>
      </w:r>
    </w:p>
    <w:p w:rsidR="00F45DF0" w:rsidRPr="00F45DF0" w:rsidRDefault="00F45DF0" w:rsidP="00F45DF0">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Članak 3.</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U članku 20. uz postojeći stavak koji postaje stavak 1. dodaju se novi stavci 2., 3. i 4. koji glase: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»(2) Odredbe ovoga Pravilnika iz članka 16. stavak 4., stavak 8. </w:t>
      </w:r>
      <w:proofErr w:type="spellStart"/>
      <w:r w:rsidRPr="00F45DF0">
        <w:rPr>
          <w:rFonts w:ascii="Times New Roman" w:eastAsia="Times New Roman" w:hAnsi="Times New Roman" w:cs="Times New Roman"/>
          <w:color w:val="231F20"/>
          <w:sz w:val="20"/>
          <w:szCs w:val="20"/>
          <w:lang w:eastAsia="hr-HR"/>
        </w:rPr>
        <w:t>podtočke</w:t>
      </w:r>
      <w:proofErr w:type="spellEnd"/>
      <w:r w:rsidRPr="00F45DF0">
        <w:rPr>
          <w:rFonts w:ascii="Times New Roman" w:eastAsia="Times New Roman" w:hAnsi="Times New Roman" w:cs="Times New Roman"/>
          <w:color w:val="231F20"/>
          <w:sz w:val="20"/>
          <w:szCs w:val="20"/>
          <w:lang w:eastAsia="hr-HR"/>
        </w:rPr>
        <w:t xml:space="preserve"> 1., 3., 4., 5. i 6. te stavak 9. </w:t>
      </w:r>
      <w:proofErr w:type="spellStart"/>
      <w:r w:rsidRPr="00F45DF0">
        <w:rPr>
          <w:rFonts w:ascii="Times New Roman" w:eastAsia="Times New Roman" w:hAnsi="Times New Roman" w:cs="Times New Roman"/>
          <w:color w:val="231F20"/>
          <w:sz w:val="20"/>
          <w:szCs w:val="20"/>
          <w:lang w:eastAsia="hr-HR"/>
        </w:rPr>
        <w:t>podtočka</w:t>
      </w:r>
      <w:proofErr w:type="spellEnd"/>
      <w:r w:rsidRPr="00F45DF0">
        <w:rPr>
          <w:rFonts w:ascii="Times New Roman" w:eastAsia="Times New Roman" w:hAnsi="Times New Roman" w:cs="Times New Roman"/>
          <w:color w:val="231F20"/>
          <w:sz w:val="20"/>
          <w:szCs w:val="20"/>
          <w:lang w:eastAsia="hr-HR"/>
        </w:rPr>
        <w:t xml:space="preserve"> 1. primjenjuju se: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a) u planiranju i izvršavanju proračuna i financijskog plana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za državni proračun, proračunske i izvanproračunske korisnike državnog proračuna od proračunskog ciklusa za razdoblje 2026. – 2028.</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za proračune jedinica lokalne i područne (regionalne) samouprave, proračunske i izvanproračunske korisnike jedinica lokalne i područne (regionalne) samouprave najkasnije od proračunskog ciklusa za razdoblje 2027. – 2029.</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b) u računovodstvenim evidencijama</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za državni proračun, proračunske i izvanproračunske korisnike državnog proračuna od 1. siječnja 2026.</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za proračune jedinica lokalne i područne (regionalne) samouprave, proračunske i izvanproračunske korisnike jedinica lokalne i područne (regionalne) samouprave najkasnije od 1. siječnja 2027.</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xml:space="preserve">(3) Odredbe ovoga Pravilnika iz članka 16. stavci 6. i 7., stavak 8. </w:t>
      </w:r>
      <w:proofErr w:type="spellStart"/>
      <w:r w:rsidRPr="00F45DF0">
        <w:rPr>
          <w:rFonts w:ascii="Times New Roman" w:eastAsia="Times New Roman" w:hAnsi="Times New Roman" w:cs="Times New Roman"/>
          <w:color w:val="231F20"/>
          <w:sz w:val="20"/>
          <w:szCs w:val="20"/>
          <w:lang w:eastAsia="hr-HR"/>
        </w:rPr>
        <w:t>podtočke</w:t>
      </w:r>
      <w:proofErr w:type="spellEnd"/>
      <w:r w:rsidRPr="00F45DF0">
        <w:rPr>
          <w:rFonts w:ascii="Times New Roman" w:eastAsia="Times New Roman" w:hAnsi="Times New Roman" w:cs="Times New Roman"/>
          <w:color w:val="231F20"/>
          <w:sz w:val="20"/>
          <w:szCs w:val="20"/>
          <w:lang w:eastAsia="hr-HR"/>
        </w:rPr>
        <w:t xml:space="preserve"> 2. i 7. te stavak 9. </w:t>
      </w:r>
      <w:proofErr w:type="spellStart"/>
      <w:r w:rsidRPr="00F45DF0">
        <w:rPr>
          <w:rFonts w:ascii="Times New Roman" w:eastAsia="Times New Roman" w:hAnsi="Times New Roman" w:cs="Times New Roman"/>
          <w:color w:val="231F20"/>
          <w:sz w:val="20"/>
          <w:szCs w:val="20"/>
          <w:lang w:eastAsia="hr-HR"/>
        </w:rPr>
        <w:t>podtočke</w:t>
      </w:r>
      <w:proofErr w:type="spellEnd"/>
      <w:r w:rsidRPr="00F45DF0">
        <w:rPr>
          <w:rFonts w:ascii="Times New Roman" w:eastAsia="Times New Roman" w:hAnsi="Times New Roman" w:cs="Times New Roman"/>
          <w:color w:val="231F20"/>
          <w:sz w:val="20"/>
          <w:szCs w:val="20"/>
          <w:lang w:eastAsia="hr-HR"/>
        </w:rPr>
        <w:t xml:space="preserve"> 2. i 3. primjenjuju se:</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u financijskom izvještavanju o EU sredstvima od 1. siječnja 2025.</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u planiranju i izvršavanju proračuna i financijskog plana od proračunskog ciklusa za razdoblje 2026. – 2028.</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 u računovodstvenim evidencijama od 1. siječnja 2026.</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(4) Jedinice, proračunski i izvanproračunski korisnici u proračunu odnosno financijskim planovima i računovodstvenim evidencijama za 2025. godinu koriste postojeće oznake izvora financiranja. Za podatke koji će biti dostavljeni Ministarstvu financija za potrebe financijskog izvještavanja koristit će se oznake sukladno odredbama ovog Pravilnika korištenjem odgovarajućih veznih tablica.«</w:t>
      </w:r>
    </w:p>
    <w:p w:rsidR="00F45DF0" w:rsidRPr="00F45DF0" w:rsidRDefault="00F45DF0" w:rsidP="00F45DF0">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Članak 4.</w:t>
      </w:r>
    </w:p>
    <w:p w:rsidR="00F45DF0" w:rsidRPr="00F45DF0" w:rsidRDefault="00F45DF0" w:rsidP="00F45DF0">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Ovaj Pravilnik stupa na snagu osmoga dana od dana objave u »Narodnim novinama«.</w:t>
      </w:r>
    </w:p>
    <w:p w:rsidR="00F45DF0" w:rsidRPr="00F45DF0" w:rsidRDefault="00F45DF0" w:rsidP="00F45DF0">
      <w:pPr>
        <w:shd w:val="clear" w:color="auto" w:fill="FFFFFF"/>
        <w:spacing w:after="0" w:line="240" w:lineRule="auto"/>
        <w:ind w:left="408"/>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Klasa: 400-02/24-01/2</w:t>
      </w:r>
      <w:r w:rsidRPr="00F45DF0">
        <w:rPr>
          <w:rFonts w:ascii="Minion Pro" w:eastAsia="Times New Roman" w:hAnsi="Minion Pro" w:cs="Times New Roman"/>
          <w:color w:val="231F20"/>
          <w:sz w:val="20"/>
          <w:szCs w:val="20"/>
          <w:lang w:eastAsia="hr-HR"/>
        </w:rPr>
        <w:br/>
      </w:r>
      <w:proofErr w:type="spellStart"/>
      <w:r w:rsidRPr="00F45DF0">
        <w:rPr>
          <w:rFonts w:ascii="Times New Roman" w:eastAsia="Times New Roman" w:hAnsi="Times New Roman" w:cs="Times New Roman"/>
          <w:color w:val="231F20"/>
          <w:sz w:val="20"/>
          <w:szCs w:val="20"/>
          <w:lang w:eastAsia="hr-HR"/>
        </w:rPr>
        <w:t>Urbroj</w:t>
      </w:r>
      <w:proofErr w:type="spellEnd"/>
      <w:r w:rsidRPr="00F45DF0">
        <w:rPr>
          <w:rFonts w:ascii="Times New Roman" w:eastAsia="Times New Roman" w:hAnsi="Times New Roman" w:cs="Times New Roman"/>
          <w:color w:val="231F20"/>
          <w:sz w:val="20"/>
          <w:szCs w:val="20"/>
          <w:lang w:eastAsia="hr-HR"/>
        </w:rPr>
        <w:t>: 513-17-01-25-3</w:t>
      </w:r>
      <w:r w:rsidRPr="00F45DF0">
        <w:rPr>
          <w:rFonts w:ascii="Minion Pro" w:eastAsia="Times New Roman" w:hAnsi="Minion Pro" w:cs="Times New Roman"/>
          <w:color w:val="231F20"/>
          <w:sz w:val="20"/>
          <w:szCs w:val="20"/>
          <w:lang w:eastAsia="hr-HR"/>
        </w:rPr>
        <w:br/>
      </w:r>
      <w:r w:rsidRPr="00F45DF0">
        <w:rPr>
          <w:rFonts w:ascii="Times New Roman" w:eastAsia="Times New Roman" w:hAnsi="Times New Roman" w:cs="Times New Roman"/>
          <w:color w:val="231F20"/>
          <w:sz w:val="20"/>
          <w:szCs w:val="20"/>
          <w:lang w:eastAsia="hr-HR"/>
        </w:rPr>
        <w:t>Zagreb, 16. rujna 2025.</w:t>
      </w:r>
    </w:p>
    <w:p w:rsidR="00F45DF0" w:rsidRPr="00F45DF0" w:rsidRDefault="00F45DF0" w:rsidP="00F45DF0">
      <w:pPr>
        <w:shd w:val="clear" w:color="auto" w:fill="FFFFFF"/>
        <w:spacing w:line="240" w:lineRule="auto"/>
        <w:ind w:left="2712"/>
        <w:jc w:val="center"/>
        <w:textAlignment w:val="baseline"/>
        <w:rPr>
          <w:rFonts w:ascii="Times New Roman" w:eastAsia="Times New Roman" w:hAnsi="Times New Roman" w:cs="Times New Roman"/>
          <w:color w:val="231F20"/>
          <w:sz w:val="20"/>
          <w:szCs w:val="20"/>
          <w:lang w:eastAsia="hr-HR"/>
        </w:rPr>
      </w:pPr>
      <w:r w:rsidRPr="00F45DF0">
        <w:rPr>
          <w:rFonts w:ascii="Times New Roman" w:eastAsia="Times New Roman" w:hAnsi="Times New Roman" w:cs="Times New Roman"/>
          <w:color w:val="231F20"/>
          <w:sz w:val="20"/>
          <w:szCs w:val="20"/>
          <w:lang w:eastAsia="hr-HR"/>
        </w:rPr>
        <w:t>Potpredsjednik</w:t>
      </w:r>
      <w:r w:rsidRPr="00F45DF0">
        <w:rPr>
          <w:rFonts w:ascii="Minion Pro" w:eastAsia="Times New Roman" w:hAnsi="Minion Pro" w:cs="Times New Roman"/>
          <w:color w:val="231F20"/>
          <w:sz w:val="20"/>
          <w:szCs w:val="20"/>
          <w:lang w:eastAsia="hr-HR"/>
        </w:rPr>
        <w:br/>
      </w:r>
      <w:r w:rsidRPr="00F45DF0">
        <w:rPr>
          <w:rFonts w:ascii="Times New Roman" w:eastAsia="Times New Roman" w:hAnsi="Times New Roman" w:cs="Times New Roman"/>
          <w:color w:val="231F20"/>
          <w:sz w:val="20"/>
          <w:szCs w:val="20"/>
          <w:lang w:eastAsia="hr-HR"/>
        </w:rPr>
        <w:t>Vlade Republike Hrvatske</w:t>
      </w:r>
      <w:r w:rsidRPr="00F45DF0">
        <w:rPr>
          <w:rFonts w:ascii="Minion Pro" w:eastAsia="Times New Roman" w:hAnsi="Minion Pro" w:cs="Times New Roman"/>
          <w:color w:val="231F20"/>
          <w:sz w:val="20"/>
          <w:szCs w:val="20"/>
          <w:lang w:eastAsia="hr-HR"/>
        </w:rPr>
        <w:br/>
      </w:r>
      <w:r w:rsidRPr="00F45DF0">
        <w:rPr>
          <w:rFonts w:ascii="Times New Roman" w:eastAsia="Times New Roman" w:hAnsi="Times New Roman" w:cs="Times New Roman"/>
          <w:color w:val="231F20"/>
          <w:sz w:val="20"/>
          <w:szCs w:val="20"/>
          <w:lang w:eastAsia="hr-HR"/>
        </w:rPr>
        <w:t>i ministar financija</w:t>
      </w:r>
      <w:r w:rsidRPr="00F45DF0">
        <w:rPr>
          <w:rFonts w:ascii="Minion Pro" w:eastAsia="Times New Roman" w:hAnsi="Minion Pro" w:cs="Times New Roman"/>
          <w:color w:val="231F20"/>
          <w:sz w:val="20"/>
          <w:szCs w:val="20"/>
          <w:lang w:eastAsia="hr-HR"/>
        </w:rPr>
        <w:br/>
      </w:r>
      <w:r w:rsidRPr="00F45DF0">
        <w:rPr>
          <w:rFonts w:ascii="Minion Pro" w:eastAsia="Times New Roman" w:hAnsi="Minion Pro" w:cs="Times New Roman"/>
          <w:b/>
          <w:bCs/>
          <w:color w:val="231F20"/>
          <w:sz w:val="24"/>
          <w:szCs w:val="24"/>
          <w:bdr w:val="none" w:sz="0" w:space="0" w:color="auto" w:frame="1"/>
          <w:lang w:eastAsia="hr-HR"/>
        </w:rPr>
        <w:t xml:space="preserve">dr. </w:t>
      </w:r>
      <w:proofErr w:type="spellStart"/>
      <w:r w:rsidRPr="00F45DF0">
        <w:rPr>
          <w:rFonts w:ascii="Minion Pro" w:eastAsia="Times New Roman" w:hAnsi="Minion Pro" w:cs="Times New Roman"/>
          <w:b/>
          <w:bCs/>
          <w:color w:val="231F20"/>
          <w:sz w:val="24"/>
          <w:szCs w:val="24"/>
          <w:bdr w:val="none" w:sz="0" w:space="0" w:color="auto" w:frame="1"/>
          <w:lang w:eastAsia="hr-HR"/>
        </w:rPr>
        <w:t>sc</w:t>
      </w:r>
      <w:proofErr w:type="spellEnd"/>
      <w:r w:rsidRPr="00F45DF0">
        <w:rPr>
          <w:rFonts w:ascii="Minion Pro" w:eastAsia="Times New Roman" w:hAnsi="Minion Pro" w:cs="Times New Roman"/>
          <w:b/>
          <w:bCs/>
          <w:color w:val="231F20"/>
          <w:sz w:val="24"/>
          <w:szCs w:val="24"/>
          <w:bdr w:val="none" w:sz="0" w:space="0" w:color="auto" w:frame="1"/>
          <w:lang w:eastAsia="hr-HR"/>
        </w:rPr>
        <w:t>. Marko Primorac, </w:t>
      </w:r>
      <w:r w:rsidRPr="00F45DF0">
        <w:rPr>
          <w:rFonts w:ascii="Times New Roman" w:eastAsia="Times New Roman" w:hAnsi="Times New Roman" w:cs="Times New Roman"/>
          <w:color w:val="231F20"/>
          <w:sz w:val="20"/>
          <w:szCs w:val="20"/>
          <w:lang w:eastAsia="hr-HR"/>
        </w:rPr>
        <w:t>v. r.</w:t>
      </w:r>
    </w:p>
    <w:tbl>
      <w:tblPr>
        <w:tblW w:w="10655" w:type="dxa"/>
        <w:tblCellMar>
          <w:left w:w="0" w:type="dxa"/>
          <w:right w:w="0" w:type="dxa"/>
        </w:tblCellMar>
        <w:tblLook w:val="04A0" w:firstRow="1" w:lastRow="0" w:firstColumn="1" w:lastColumn="0" w:noHBand="0" w:noVBand="1"/>
      </w:tblPr>
      <w:tblGrid>
        <w:gridCol w:w="359"/>
        <w:gridCol w:w="642"/>
        <w:gridCol w:w="693"/>
        <w:gridCol w:w="991"/>
        <w:gridCol w:w="7970"/>
      </w:tblGrid>
      <w:tr w:rsidR="00F45DF0" w:rsidRPr="00F45DF0" w:rsidTr="00F45DF0">
        <w:tc>
          <w:tcPr>
            <w:tcW w:w="10553" w:type="dxa"/>
            <w:gridSpan w:val="5"/>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45DF0" w:rsidRPr="00F45DF0" w:rsidRDefault="00F45DF0" w:rsidP="00F45DF0">
            <w:pPr>
              <w:spacing w:after="0" w:line="240" w:lineRule="auto"/>
              <w:jc w:val="center"/>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Prilog 2:</w:t>
            </w:r>
            <w:r w:rsidRPr="00F45DF0">
              <w:rPr>
                <w:rFonts w:ascii="Minion Pro" w:eastAsia="Times New Roman" w:hAnsi="Minion Pro" w:cs="Times New Roman"/>
                <w:b/>
                <w:bCs/>
                <w:color w:val="231F20"/>
                <w:sz w:val="18"/>
                <w:szCs w:val="18"/>
                <w:bdr w:val="none" w:sz="0" w:space="0" w:color="auto" w:frame="1"/>
                <w:lang w:eastAsia="hr-HR"/>
              </w:rPr>
              <w:br/>
              <w:t>Brojčane oznake i nazivi izvora financiranja</w:t>
            </w:r>
          </w:p>
        </w:tc>
      </w:tr>
      <w:tr w:rsidR="00F45DF0" w:rsidRPr="00F45DF0" w:rsidTr="00F45DF0">
        <w:tc>
          <w:tcPr>
            <w:tcW w:w="10553"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Razred</w:t>
            </w:r>
          </w:p>
        </w:tc>
      </w:tr>
      <w:tr w:rsidR="00F45DF0" w:rsidRPr="00F45DF0" w:rsidTr="00F45DF0">
        <w:tc>
          <w:tcPr>
            <w:tcW w:w="37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10092" w:type="dxa"/>
            <w:gridSpan w:val="4"/>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Skupina</w:t>
            </w:r>
          </w:p>
        </w:tc>
      </w:tr>
      <w:tr w:rsidR="00F45DF0" w:rsidRPr="00F45DF0" w:rsidTr="00F45DF0">
        <w:tc>
          <w:tcPr>
            <w:tcW w:w="0" w:type="auto"/>
            <w:vMerge/>
            <w:tcBorders>
              <w:top w:val="single" w:sz="6" w:space="0" w:color="auto"/>
              <w:left w:val="single" w:sz="6" w:space="0" w:color="auto"/>
              <w:bottom w:val="single" w:sz="6" w:space="0" w:color="auto"/>
              <w:right w:val="single" w:sz="6" w:space="0" w:color="auto"/>
            </w:tcBorders>
            <w:vAlign w:val="bottom"/>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697"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9308"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Podskupina</w:t>
            </w:r>
          </w:p>
        </w:tc>
      </w:tr>
      <w:tr w:rsidR="00F45DF0" w:rsidRPr="00F45DF0" w:rsidTr="00F45DF0">
        <w:tc>
          <w:tcPr>
            <w:tcW w:w="0" w:type="auto"/>
            <w:vMerge/>
            <w:tcBorders>
              <w:top w:val="single" w:sz="6" w:space="0" w:color="auto"/>
              <w:left w:val="single" w:sz="6" w:space="0" w:color="auto"/>
              <w:bottom w:val="single" w:sz="6" w:space="0" w:color="auto"/>
              <w:right w:val="single" w:sz="6" w:space="0" w:color="auto"/>
            </w:tcBorders>
            <w:vAlign w:val="bottom"/>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7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8482"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Dodatna analitička oznaka</w:t>
            </w:r>
          </w:p>
        </w:tc>
      </w:tr>
      <w:tr w:rsidR="00F45DF0" w:rsidRPr="00F45DF0" w:rsidTr="00F45DF0">
        <w:tc>
          <w:tcPr>
            <w:tcW w:w="37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1</w:t>
            </w:r>
          </w:p>
        </w:tc>
        <w:tc>
          <w:tcPr>
            <w:tcW w:w="6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7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106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73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Sredstva učešća za pomoći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lastRenderedPageBreak/>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DOPRINOSI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 za mirovinsko osiguranje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Doprinosi za zdravstveno osiguranje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40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komunalne naknade i komunalnog doprinosa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igara na sreću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Prihodi od spomeničke rente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POMOĆI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Pomoći iz državnog proračuna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opće prihode i primitke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nacionalno sufinanciranje EU projekata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prihode od igara na sreću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prihode od spomeničke rente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ostale prihode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50810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namjenske primitke od zaduživanja – ostali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50815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Pomoći iz državnog proračuna kroz namjenske primitke od zaduživanja – NPOO</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Programi Unije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Programi Unije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Programi Unije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Programi Unije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Programi Unije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Programi Unije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51081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Programi Unije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Ostale pomoći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Darovnice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Europski poljoprivredni jamstveni fond (EAGF)</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Fondovi EU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Europski socijalni fond plus</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socijalni fond plus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socijalni fond plus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socijalni fond plus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socijalni fond plus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socijalni fond plus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Kohezijski fond</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Kohezijski fond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Kohezijski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Kohezijski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Kohezijski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Kohezijski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Europski fond za regionalni razvoj</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fond za regionalni razvoj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fond za regionalni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fond za regionalni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fond za regionalni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fond za regionalni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 za pomorstvo, ribarstvo i akvakulturu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pomorstvo, ribarstvo i akvakulturu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pomorstvo, ribarstvo i akvakulturu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pomorstvo, ribarstvo i akvakulturu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pomorstvo, ribarstvo i akvakulturu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pomorstvo, ribarstvo i akvakulturu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Europski poljoprivredni fond za ruralni razvoj</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Europski poljoprivredni fond za ruralni razvoj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poljoprivredni fond za ruralni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poljoprivredni fond za ruralni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poljoprivredni fond za ruralni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Europski poljoprivredni fond za ruralni razvoj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Modernizacijski fond</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Modernizacijski fond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Modernizacijski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Modernizacijski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Modernizacijski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Modernizacijski fond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Socijalni fond za klimatsku politiku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Socijalni fond za klimatsku politiku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Socijalni fond za klimatsku politiku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Socijalni fond za klimatsku politiku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Socijalni fond za klimatsku politiku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56781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Socijalni fond za klimatsku politiku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Ostali programi EU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 za azil, migracije i integraciju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azil, migracije i integraciju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azil, migracije i integraciju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azil, migracije i integraciju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azil, migracije i integraciju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azil, migracije i integraciju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 za pravednu tranziciju</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pravednu tranziciju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pravednu tranziciju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pravednu tranziciju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pravednu tranziciju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57781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pravednu tranziciju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 za unutarnju sigurnost</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unutarnju sigurnost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unutarnju sigurnost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unutarnju sigurnost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unutarnju sigurnost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57881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unutarnju sigurnost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Fond za integrirano upravljanje granicama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Fond za integrirano upravljanje granicama – raspoloživ predujam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integrirano upravljanje granicama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integrirano upravljanje granicama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integrirano upravljanje granicama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57981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Fond za integrirano upravljanje granicama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Instrumenti EU nove generacije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Mehanizam za oporavak i otpornost – bespovratna sredstva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Mehanizam za oporavak i otpornost – bespovratna sredstva – raspoloživ predujam ili unaprijed naplaćen prihod</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Mehanizam za oporavak i otpornost – bespovratna sredstva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11 Opći prihodi 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lastRenderedPageBreak/>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Mehanizam za oporavak i otpornost – bespovratna sredstva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31 Vlastiti prihodi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Mehanizam za oporavak i otpornost – bespovratna sredstva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43 Ostali prihodi za posebne namjene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58181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xml:space="preserve">Mehanizam za oporavak i otpornost – bespovratna sredstva – </w:t>
            </w:r>
            <w:proofErr w:type="spellStart"/>
            <w:r w:rsidRPr="00F45DF0">
              <w:rPr>
                <w:rFonts w:ascii="Minion Pro" w:eastAsia="Times New Roman" w:hAnsi="Minion Pro" w:cs="Times New Roman"/>
                <w:color w:val="231F20"/>
                <w:sz w:val="18"/>
                <w:szCs w:val="18"/>
                <w:bdr w:val="none" w:sz="0" w:space="0" w:color="auto" w:frame="1"/>
                <w:lang w:eastAsia="hr-HR"/>
              </w:rPr>
              <w:t>predfinanciranje</w:t>
            </w:r>
            <w:proofErr w:type="spellEnd"/>
            <w:r w:rsidRPr="00F45DF0">
              <w:rPr>
                <w:rFonts w:ascii="Minion Pro" w:eastAsia="Times New Roman" w:hAnsi="Minion Pro" w:cs="Times New Roman"/>
                <w:color w:val="231F20"/>
                <w:sz w:val="18"/>
                <w:szCs w:val="18"/>
                <w:bdr w:val="none" w:sz="0" w:space="0" w:color="auto" w:frame="1"/>
                <w:lang w:eastAsia="hr-HR"/>
              </w:rPr>
              <w:t xml:space="preserve"> iz izvora 81 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DONACIJE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Donacije</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PRIHODI OD PRODAJE ILI ZAMJENE NEFINANCIJSKE IMOVINE I NAKNADE S NASLOVA OSIGURANJA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Prihodi od prodaje ili zamjene nefinancijske imovine i naknade s naslova osiguranja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NAMJENSKI PRIMICI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Namjenski primici od zaduživanja</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Namjenski primici od zaduživanja – ostali</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Mehanizam za oporavak i otpornost (NPOO – zajam)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Sigurnosna akcija za Europu (SAFE – zajam)</w:t>
            </w:r>
          </w:p>
        </w:tc>
      </w:tr>
      <w:tr w:rsidR="00F45DF0" w:rsidRPr="00F45DF0" w:rsidTr="00F45DF0">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color w:val="231F20"/>
                <w:sz w:val="18"/>
                <w:szCs w:val="18"/>
                <w:bdr w:val="none" w:sz="0" w:space="0" w:color="auto" w:frame="1"/>
                <w:lang w:eastAsia="hr-HR"/>
              </w:rPr>
              <w:t> </w:t>
            </w:r>
            <w:r w:rsidRPr="00F45DF0">
              <w:rPr>
                <w:rFonts w:ascii="Minion Pro" w:eastAsia="Times New Roman" w:hAnsi="Minion Pro" w:cs="Times New Roman"/>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45DF0" w:rsidRPr="00F45DF0" w:rsidRDefault="00F45DF0" w:rsidP="00F45DF0">
            <w:pPr>
              <w:spacing w:after="0" w:line="240" w:lineRule="auto"/>
              <w:rPr>
                <w:rFonts w:ascii="Minion Pro" w:eastAsia="Times New Roman" w:hAnsi="Minion Pro" w:cs="Times New Roman"/>
                <w:color w:val="231F20"/>
                <w:lang w:eastAsia="hr-HR"/>
              </w:rPr>
            </w:pPr>
            <w:r w:rsidRPr="00F45DF0">
              <w:rPr>
                <w:rFonts w:ascii="Minion Pro" w:eastAsia="Times New Roman" w:hAnsi="Minion Pro" w:cs="Times New Roman"/>
                <w:b/>
                <w:bCs/>
                <w:color w:val="231F20"/>
                <w:sz w:val="18"/>
                <w:szCs w:val="18"/>
                <w:bdr w:val="none" w:sz="0" w:space="0" w:color="auto" w:frame="1"/>
                <w:lang w:eastAsia="hr-HR"/>
              </w:rPr>
              <w:t>Namjenski primici od povrata danih zajmova</w:t>
            </w:r>
          </w:p>
        </w:tc>
      </w:tr>
    </w:tbl>
    <w:p w:rsidR="00F45DF0" w:rsidRPr="00F45DF0" w:rsidRDefault="00F45DF0" w:rsidP="00F45DF0">
      <w:pPr>
        <w:shd w:val="clear" w:color="auto" w:fill="FFFFFF"/>
        <w:spacing w:after="0" w:line="240" w:lineRule="auto"/>
        <w:textAlignment w:val="baseline"/>
        <w:rPr>
          <w:rFonts w:ascii="Minion Pro" w:eastAsia="Times New Roman" w:hAnsi="Minion Pro" w:cs="Times New Roman"/>
          <w:color w:val="000000"/>
          <w:sz w:val="20"/>
          <w:szCs w:val="20"/>
          <w:lang w:eastAsia="hr-HR"/>
        </w:rPr>
      </w:pPr>
      <w:r w:rsidRPr="00F45DF0">
        <w:rPr>
          <w:rFonts w:ascii="Minion Pro" w:eastAsia="Times New Roman" w:hAnsi="Minion Pro" w:cs="Times New Roman"/>
          <w:color w:val="000000"/>
          <w:sz w:val="20"/>
          <w:szCs w:val="20"/>
          <w:lang w:eastAsia="hr-HR"/>
        </w:rPr>
        <w:br/>
      </w:r>
    </w:p>
    <w:p w:rsidR="00F45DF0" w:rsidRPr="00F45DF0" w:rsidRDefault="00F45DF0" w:rsidP="00F45DF0">
      <w:pPr>
        <w:shd w:val="clear" w:color="auto" w:fill="FFFFFF"/>
        <w:spacing w:after="48" w:line="240" w:lineRule="auto"/>
        <w:textAlignment w:val="baseline"/>
        <w:rPr>
          <w:rFonts w:ascii="Times New Roman" w:eastAsia="Times New Roman" w:hAnsi="Times New Roman" w:cs="Times New Roman"/>
          <w:color w:val="231F20"/>
          <w:sz w:val="20"/>
          <w:szCs w:val="20"/>
          <w:lang w:eastAsia="hr-HR"/>
        </w:rPr>
      </w:pPr>
    </w:p>
    <w:p w:rsidR="00F45DF0" w:rsidRPr="00F45DF0" w:rsidRDefault="00F45DF0" w:rsidP="00F45DF0">
      <w:pPr>
        <w:shd w:val="clear" w:color="auto" w:fill="FFFFFF"/>
        <w:spacing w:line="0" w:lineRule="auto"/>
        <w:textAlignment w:val="baseline"/>
        <w:rPr>
          <w:rFonts w:ascii="Times New Roman" w:eastAsia="Times New Roman" w:hAnsi="Times New Roman" w:cs="Times New Roman"/>
          <w:color w:val="231F20"/>
          <w:sz w:val="2"/>
          <w:szCs w:val="2"/>
          <w:lang w:eastAsia="hr-HR"/>
        </w:rPr>
      </w:pPr>
    </w:p>
    <w:p w:rsidR="0013276D" w:rsidRDefault="0013276D"/>
    <w:sectPr w:rsidR="00132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F0"/>
    <w:rsid w:val="0013276D"/>
    <w:rsid w:val="00F45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8470"/>
  <w15:chartTrackingRefBased/>
  <w15:docId w15:val="{60DF9810-31DA-4AF6-A6DC-AF416AFD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45DF0"/>
  </w:style>
  <w:style w:type="paragraph" w:customStyle="1" w:styleId="msonormal0">
    <w:name w:val="msonormal"/>
    <w:basedOn w:val="Normal"/>
    <w:rsid w:val="00F45DF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0840">
    <w:name w:val="box_480840"/>
    <w:basedOn w:val="Normal"/>
    <w:rsid w:val="00F45D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45DF0"/>
  </w:style>
  <w:style w:type="character" w:customStyle="1" w:styleId="bold">
    <w:name w:val="bold"/>
    <w:basedOn w:val="Zadanifontodlomka"/>
    <w:rsid w:val="00F45DF0"/>
  </w:style>
  <w:style w:type="paragraph" w:customStyle="1" w:styleId="bezreda">
    <w:name w:val="bezreda"/>
    <w:basedOn w:val="Normal"/>
    <w:rsid w:val="00F45D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raj-clanka">
    <w:name w:val="kraj-clanka"/>
    <w:basedOn w:val="Zadanifontodlomka"/>
    <w:rsid w:val="00F4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72508">
      <w:bodyDiv w:val="1"/>
      <w:marLeft w:val="0"/>
      <w:marRight w:val="0"/>
      <w:marTop w:val="0"/>
      <w:marBottom w:val="0"/>
      <w:divBdr>
        <w:top w:val="none" w:sz="0" w:space="0" w:color="auto"/>
        <w:left w:val="none" w:sz="0" w:space="0" w:color="auto"/>
        <w:bottom w:val="none" w:sz="0" w:space="0" w:color="auto"/>
        <w:right w:val="none" w:sz="0" w:space="0" w:color="auto"/>
      </w:divBdr>
      <w:divsChild>
        <w:div w:id="804663635">
          <w:marLeft w:val="0"/>
          <w:marRight w:val="0"/>
          <w:marTop w:val="300"/>
          <w:marBottom w:val="450"/>
          <w:divBdr>
            <w:top w:val="none" w:sz="0" w:space="0" w:color="auto"/>
            <w:left w:val="none" w:sz="0" w:space="0" w:color="auto"/>
            <w:bottom w:val="none" w:sz="0" w:space="0" w:color="auto"/>
            <w:right w:val="none" w:sz="0" w:space="0" w:color="auto"/>
          </w:divBdr>
          <w:divsChild>
            <w:div w:id="1590235162">
              <w:marLeft w:val="0"/>
              <w:marRight w:val="0"/>
              <w:marTop w:val="0"/>
              <w:marBottom w:val="0"/>
              <w:divBdr>
                <w:top w:val="none" w:sz="0" w:space="0" w:color="auto"/>
                <w:left w:val="none" w:sz="0" w:space="0" w:color="auto"/>
                <w:bottom w:val="none" w:sz="0" w:space="0" w:color="auto"/>
                <w:right w:val="none" w:sz="0" w:space="0" w:color="auto"/>
              </w:divBdr>
              <w:divsChild>
                <w:div w:id="1748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3225</Words>
  <Characters>18389</Characters>
  <Application>Microsoft Office Word</Application>
  <DocSecurity>0</DocSecurity>
  <Lines>153</Lines>
  <Paragraphs>43</Paragraphs>
  <ScaleCrop>false</ScaleCrop>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2025-12-09T09:51:00Z</dcterms:created>
  <dcterms:modified xsi:type="dcterms:W3CDTF">2025-12-09T09:52:00Z</dcterms:modified>
</cp:coreProperties>
</file>